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Footer"/>
        <w:pBdr>
          <w:top w:val="nil"/>
          <w:left w:val="nil"/>
          <w:bottom w:val="single" w:color="000000" w:sz="4" w:space="0" w:shadow="0" w:frame="0"/>
          <w:right w:val="nil"/>
        </w:pBdr>
        <w:tabs>
          <w:tab w:val="clear" w:pos="4680"/>
          <w:tab w:val="clear" w:pos="9360"/>
        </w:tabs>
        <w:rPr>
          <w:rFonts w:ascii="Arial" w:cs="Arial" w:hAnsi="Arial" w:eastAsia="Arial"/>
          <w:sz w:val="14"/>
          <w:szCs w:val="14"/>
        </w:rPr>
      </w:pPr>
      <w:r>
        <w:rPr>
          <w:rFonts w:ascii="Arial" w:hAnsi="Arial"/>
          <w:sz w:val="36"/>
          <w:szCs w:val="36"/>
          <w:rtl w:val="0"/>
          <w:lang w:val="en-US"/>
        </w:rPr>
        <w:t>University of Phoenix Material</w:t>
      </w:r>
      <w:r>
        <w:rPr>
          <w:rFonts w:ascii="Arial" w:cs="Arial" w:hAnsi="Arial" w:eastAsia="Arial"/>
          <w:sz w:val="14"/>
          <w:szCs w:val="14"/>
        </w:rPr>
        <w:tab/>
      </w:r>
    </w:p>
    <w:p>
      <w:pPr>
        <w:pStyle w:val="Title"/>
        <w:jc w:val="center"/>
        <w:rPr>
          <w:rFonts w:ascii="Arial" w:cs="Arial" w:hAnsi="Arial" w:eastAsia="Arial"/>
          <w:b w:val="1"/>
          <w:bCs w:val="1"/>
          <w:i w:val="1"/>
          <w:iCs w:val="1"/>
          <w:sz w:val="24"/>
          <w:szCs w:val="24"/>
        </w:rPr>
      </w:pPr>
      <w:r>
        <w:rPr>
          <w:rFonts w:ascii="Arial" w:hAnsi="Arial"/>
          <w:b w:val="1"/>
          <w:bCs w:val="1"/>
          <w:i w:val="1"/>
          <w:iCs w:val="1"/>
          <w:sz w:val="24"/>
          <w:szCs w:val="24"/>
          <w:rtl w:val="0"/>
          <w:lang w:val="en-US"/>
        </w:rPr>
        <w:t>Martina Gutierrez Scenario</w:t>
      </w:r>
    </w:p>
    <w:p>
      <w:pPr>
        <w:pStyle w:val="Normal.0"/>
        <w:rPr>
          <w:rFonts w:ascii="Arial" w:cs="Arial" w:hAnsi="Arial" w:eastAsia="Arial"/>
          <w:b w:val="1"/>
          <w:bCs w:val="1"/>
          <w:sz w:val="20"/>
          <w:szCs w:val="20"/>
        </w:rPr>
      </w:pPr>
      <w:r>
        <w:rPr>
          <w:rFonts w:ascii="Arial" w:hAnsi="Arial"/>
          <w:b w:val="1"/>
          <w:bCs w:val="1"/>
          <w:sz w:val="20"/>
          <w:szCs w:val="20"/>
          <w:rtl w:val="0"/>
          <w:lang w:val="en-US"/>
        </w:rPr>
        <w:t xml:space="preserve">Part 1: </w:t>
      </w:r>
    </w:p>
    <w:p>
      <w:pPr>
        <w:pStyle w:val="Normal.0"/>
        <w:rPr>
          <w:rFonts w:ascii="Arial" w:cs="Arial" w:hAnsi="Arial" w:eastAsia="Arial"/>
          <w:sz w:val="20"/>
          <w:szCs w:val="20"/>
        </w:rPr>
      </w:pPr>
      <w:r>
        <w:rPr>
          <w:rFonts w:ascii="Arial" w:hAnsi="Arial"/>
          <w:b w:val="1"/>
          <w:bCs w:val="1"/>
          <w:sz w:val="20"/>
          <w:szCs w:val="20"/>
          <w:rtl w:val="0"/>
          <w:lang w:val="en-US"/>
        </w:rPr>
        <w:t>Complete</w:t>
      </w:r>
      <w:r>
        <w:rPr>
          <w:rFonts w:ascii="Arial" w:hAnsi="Arial"/>
          <w:sz w:val="20"/>
          <w:szCs w:val="20"/>
          <w:rtl w:val="0"/>
          <w:lang w:val="en-US"/>
        </w:rPr>
        <w:t xml:space="preserve"> the following matrix as a team.</w:t>
      </w:r>
    </w:p>
    <w:p>
      <w:pPr>
        <w:pStyle w:val="Normal.0"/>
        <w:rPr>
          <w:rFonts w:ascii="Arial" w:cs="Arial" w:hAnsi="Arial" w:eastAsia="Arial"/>
          <w:sz w:val="20"/>
          <w:szCs w:val="20"/>
        </w:rPr>
      </w:pPr>
      <w:r>
        <w:rPr>
          <w:rFonts w:ascii="Arial" w:hAnsi="Arial"/>
          <w:b w:val="1"/>
          <w:bCs w:val="1"/>
          <w:sz w:val="20"/>
          <w:szCs w:val="20"/>
          <w:rtl w:val="0"/>
          <w:lang w:val="en-US"/>
        </w:rPr>
        <w:t xml:space="preserve">Imagine </w:t>
      </w:r>
      <w:r>
        <w:rPr>
          <w:rFonts w:ascii="Arial" w:hAnsi="Arial"/>
          <w:sz w:val="20"/>
          <w:szCs w:val="20"/>
          <w:rtl w:val="0"/>
          <w:lang w:val="en-US"/>
        </w:rPr>
        <w:t xml:space="preserve">that the individual described below is a family member, and you are responsible for his or her care. Using the table, you must identify what benefits, services, or agencies you would seek out or choose for the individual at each unique stage of his or her life. Consider what is available locally as well as what may be available in other parts of the state or country. </w:t>
      </w:r>
    </w:p>
    <w:tbl>
      <w:tblPr>
        <w:tblW w:w="1299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98"/>
        <w:gridCol w:w="2598"/>
        <w:gridCol w:w="2597"/>
        <w:gridCol w:w="2599"/>
        <w:gridCol w:w="2598"/>
      </w:tblGrid>
      <w:tr>
        <w:tblPrEx>
          <w:shd w:val="clear" w:color="auto" w:fill="ced7e7"/>
        </w:tblPrEx>
        <w:trPr>
          <w:trHeight w:val="223"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 xml:space="preserve">Individual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Stage 1</w:t>
            </w: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Stage 2</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Stage 3</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Normal.0"/>
              <w:spacing w:after="0" w:line="240" w:lineRule="auto"/>
            </w:pPr>
            <w:r>
              <w:rPr>
                <w:rFonts w:ascii="Arial" w:hAnsi="Arial"/>
                <w:b w:val="1"/>
                <w:bCs w:val="1"/>
                <w:sz w:val="20"/>
                <w:szCs w:val="20"/>
                <w:rtl w:val="0"/>
                <w:lang w:val="en-US"/>
              </w:rPr>
              <w:t>Stage 4</w:t>
            </w:r>
          </w:p>
        </w:tc>
      </w:tr>
      <w:tr>
        <w:tblPrEx>
          <w:shd w:val="clear" w:color="auto" w:fill="ced7e7"/>
        </w:tblPrEx>
        <w:trPr>
          <w:trHeight w:val="7483"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eeaf6"/>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 xml:space="preserve">Martina Gutierrez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Martina is a 38-year-old female who recently retired from the United States Army. Martina served in Afghanistan on multiple rotations through her last 15 years of service. Martina was injured by an improvised explosive device, causing both a traumatic brain injury as well as psychological injuries. Martina was in an automobile accident 90 days before she retired, which exasperated her previous head injury.</w:t>
            </w:r>
          </w:p>
          <w:p>
            <w:pPr>
              <w:pStyle w:val="Normal.0"/>
              <w:spacing w:after="0" w:line="240" w:lineRule="auto"/>
              <w:rPr>
                <w:rFonts w:ascii="Arial" w:cs="Arial" w:hAnsi="Arial" w:eastAsia="Arial"/>
                <w:sz w:val="20"/>
                <w:szCs w:val="20"/>
                <w:lang w:val="en-US"/>
              </w:rPr>
            </w:pPr>
          </w:p>
          <w:p>
            <w:pPr>
              <w:pStyle w:val="Normal.0"/>
              <w:spacing w:after="0" w:line="240" w:lineRule="auto"/>
              <w:rPr>
                <w:rFonts w:ascii="Arial" w:cs="Arial" w:hAnsi="Arial" w:eastAsia="Arial"/>
                <w:sz w:val="20"/>
                <w:szCs w:val="20"/>
                <w:lang w:val="en-US"/>
              </w:rPr>
            </w:pPr>
          </w:p>
          <w:p>
            <w:pPr>
              <w:pStyle w:val="Normal.0"/>
              <w:spacing w:after="0" w:line="240" w:lineRule="auto"/>
            </w:pPr>
            <w:r>
              <w:rPr>
                <w:rFonts w:ascii="Arial" w:cs="Arial" w:hAnsi="Arial" w:eastAsia="Arial"/>
                <w:sz w:val="20"/>
                <w:szCs w:val="20"/>
                <w:lang w:val="en-US"/>
              </w:rPr>
            </w: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Martina is now 48 years old and has not found meaningful work since she retired from the military. She complains of mild to moderate pain from her injuries while on active duty, which were exasperated by her car accident while on active duty. She is divorced and has increased trouble concentrating and reading, and she is becoming increasingly more withdrawn from her friends and family. Because she retired from active duty, she receives medical care from the Veteran</w:t>
            </w:r>
            <w:r>
              <w:rPr>
                <w:rFonts w:ascii="Arial" w:hAnsi="Arial" w:hint="default"/>
                <w:sz w:val="20"/>
                <w:szCs w:val="20"/>
                <w:rtl w:val="0"/>
                <w:lang w:val="en-US"/>
              </w:rPr>
              <w:t>’</w:t>
            </w:r>
            <w:r>
              <w:rPr>
                <w:rFonts w:ascii="Arial" w:hAnsi="Arial"/>
                <w:sz w:val="20"/>
                <w:szCs w:val="20"/>
                <w:rtl w:val="0"/>
                <w:lang w:val="en-US"/>
              </w:rPr>
              <w:t>s Administration hospital but elected to receive her care from local doctor on a regular basis. Because of the Affordable Care Act, she pays for her medical care and is now rated at 80% disabled. She wants to become more sociable, interactive with others, possibly finish her Bachelor</w:t>
            </w:r>
            <w:r>
              <w:rPr>
                <w:rFonts w:ascii="Arial" w:hAnsi="Arial" w:hint="default"/>
                <w:sz w:val="20"/>
                <w:szCs w:val="20"/>
                <w:rtl w:val="0"/>
                <w:lang w:val="en-US"/>
              </w:rPr>
              <w:t>’</w:t>
            </w:r>
            <w:r>
              <w:rPr>
                <w:rFonts w:ascii="Arial" w:hAnsi="Arial"/>
                <w:sz w:val="20"/>
                <w:szCs w:val="20"/>
                <w:rtl w:val="0"/>
                <w:lang w:val="en-US"/>
              </w:rPr>
              <w:t>s degree, and lead a productive life.</w:t>
            </w:r>
            <w:r>
              <w:rPr>
                <w:rFonts w:ascii="Arial" w:cs="Arial" w:hAnsi="Arial" w:eastAsia="Arial"/>
                <w:sz w:val="20"/>
                <w:szCs w:val="20"/>
              </w:rPr>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pPr>
            <w:r>
              <w:rPr>
                <w:rFonts w:ascii="Arial" w:hAnsi="Arial"/>
                <w:sz w:val="20"/>
                <w:szCs w:val="20"/>
                <w:rtl w:val="0"/>
                <w:lang w:val="en-US"/>
              </w:rPr>
              <w:t>Martina is now 63. She earned her Bachelor</w:t>
            </w:r>
            <w:r>
              <w:rPr>
                <w:rFonts w:ascii="Arial" w:hAnsi="Arial" w:hint="default"/>
                <w:sz w:val="20"/>
                <w:szCs w:val="20"/>
                <w:rtl w:val="0"/>
                <w:lang w:val="en-US"/>
              </w:rPr>
              <w:t>’</w:t>
            </w:r>
            <w:r>
              <w:rPr>
                <w:rFonts w:ascii="Arial" w:hAnsi="Arial"/>
                <w:sz w:val="20"/>
                <w:szCs w:val="20"/>
                <w:rtl w:val="0"/>
                <w:lang w:val="en-US"/>
              </w:rPr>
              <w:t>s degree and has become comfortable with others, more so than when she was in her forties. Tragically, she was hit by a drunk driver and has lost both of her legs from the knees down. She does not want prosthetics and feels comfortable using her wheelchair. Martina is homeless and continues seeing her doctors as she always does. She no longer works at her part-time job at the local library. She desires a better life and would like to get off the street. She is looking at a local continuing care retirement community.</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Martina is now 88 years old and her hearing is good, previous medical concerns are well managed. She has lived at Patriot</w:t>
            </w:r>
            <w:r>
              <w:rPr>
                <w:rFonts w:ascii="Arial" w:hAnsi="Arial" w:hint="default"/>
                <w:sz w:val="20"/>
                <w:szCs w:val="20"/>
                <w:rtl w:val="0"/>
                <w:lang w:val="en-US"/>
              </w:rPr>
              <w:t>’</w:t>
            </w:r>
            <w:r>
              <w:rPr>
                <w:rFonts w:ascii="Arial" w:hAnsi="Arial"/>
                <w:sz w:val="20"/>
                <w:szCs w:val="20"/>
                <w:rtl w:val="0"/>
                <w:lang w:val="en-US"/>
              </w:rPr>
              <w:t>s Landing in DuPont Washington since her early sixties. She can no longer afford (so she assumes) to live at local continuing care retirement community. She enjoys her friends (they are mostly retired from the military like her) and is very afraid to leave. She is worried what her next steps might be in regards to her financial situation and her current residence.</w:t>
            </w:r>
          </w:p>
          <w:p>
            <w:pPr>
              <w:pStyle w:val="Normal.0"/>
              <w:spacing w:after="0" w:line="240" w:lineRule="auto"/>
            </w:pPr>
            <w:r>
              <w:rPr>
                <w:rFonts w:ascii="Arial" w:cs="Arial" w:hAnsi="Arial" w:eastAsia="Arial"/>
                <w:sz w:val="20"/>
                <w:szCs w:val="20"/>
                <w:lang w:val="en-US"/>
              </w:rPr>
            </w:r>
          </w:p>
        </w:tc>
      </w:tr>
      <w:tr>
        <w:tblPrEx>
          <w:shd w:val="clear" w:color="auto" w:fill="ced7e7"/>
        </w:tblPrEx>
        <w:trPr>
          <w:trHeight w:val="20050" w:hRule="atLeast"/>
        </w:trPr>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eeaf6"/>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 xml:space="preserve">Per stage, </w:t>
            </w:r>
            <w:r>
              <w:rPr>
                <w:rFonts w:ascii="Arial" w:hAnsi="Arial"/>
                <w:b w:val="1"/>
                <w:bCs w:val="1"/>
                <w:sz w:val="20"/>
                <w:szCs w:val="20"/>
                <w:rtl w:val="0"/>
                <w:lang w:val="en-US"/>
              </w:rPr>
              <w:t>write</w:t>
            </w:r>
            <w:r>
              <w:rPr>
                <w:rFonts w:ascii="Arial" w:hAnsi="Arial"/>
                <w:sz w:val="20"/>
                <w:szCs w:val="20"/>
                <w:rtl w:val="0"/>
                <w:lang w:val="en-US"/>
              </w:rPr>
              <w:t xml:space="preserve"> a 200- to 300-word explanation of the following:</w:t>
            </w:r>
          </w:p>
          <w:p>
            <w:pPr>
              <w:pStyle w:val="Normal.0"/>
              <w:numPr>
                <w:ilvl w:val="0"/>
                <w:numId w:val="1"/>
              </w:numPr>
              <w:bidi w:val="0"/>
              <w:spacing w:after="0" w:line="240" w:lineRule="auto"/>
              <w:ind w:right="0"/>
              <w:jc w:val="left"/>
              <w:rPr>
                <w:rFonts w:ascii="Arial" w:hAnsi="Arial"/>
                <w:sz w:val="20"/>
                <w:szCs w:val="20"/>
                <w:rtl w:val="0"/>
                <w:lang w:val="en-US"/>
              </w:rPr>
            </w:pPr>
            <w:r>
              <w:rPr>
                <w:rFonts w:ascii="Arial" w:hAnsi="Arial"/>
                <w:sz w:val="20"/>
                <w:szCs w:val="20"/>
                <w:rtl w:val="0"/>
                <w:lang w:val="en-US"/>
              </w:rPr>
              <w:t>Potential benefits, services, and agencies you would seek out and choose for Martina</w:t>
            </w:r>
          </w:p>
          <w:p>
            <w:pPr>
              <w:pStyle w:val="Normal.0"/>
              <w:numPr>
                <w:ilvl w:val="0"/>
                <w:numId w:val="1"/>
              </w:numPr>
              <w:bidi w:val="0"/>
              <w:spacing w:after="0" w:line="240" w:lineRule="auto"/>
              <w:ind w:right="0"/>
              <w:jc w:val="left"/>
              <w:rPr>
                <w:rFonts w:ascii="Arial" w:hAnsi="Arial"/>
                <w:sz w:val="20"/>
                <w:szCs w:val="20"/>
                <w:rtl w:val="0"/>
                <w:lang w:val="en-US"/>
              </w:rPr>
            </w:pPr>
            <w:r>
              <w:rPr>
                <w:rFonts w:ascii="Arial" w:hAnsi="Arial"/>
                <w:sz w:val="20"/>
                <w:szCs w:val="20"/>
                <w:rtl w:val="0"/>
                <w:lang w:val="en-US"/>
              </w:rPr>
              <w:t>Why did you make your choices? Provide rationale.</w:t>
            </w:r>
            <w:r>
              <w:rPr>
                <w:rFonts w:ascii="Arial" w:cs="Arial" w:hAnsi="Arial" w:eastAsia="Arial"/>
                <w:sz w:val="20"/>
                <w:szCs w:val="20"/>
              </w:rPr>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 xml:space="preserve">The Centers for Disease Control and Prevention (CDC) define a traumatic brain injury (TBI) as </w:t>
            </w:r>
            <w:r>
              <w:rPr>
                <w:rFonts w:ascii="Arial" w:hAnsi="Arial" w:hint="default"/>
                <w:sz w:val="20"/>
                <w:szCs w:val="20"/>
                <w:rtl w:val="0"/>
                <w:lang w:val="en-US"/>
              </w:rPr>
              <w:t>“</w:t>
            </w:r>
            <w:r>
              <w:rPr>
                <w:rFonts w:ascii="Arial" w:hAnsi="Arial"/>
                <w:sz w:val="20"/>
                <w:szCs w:val="20"/>
                <w:rtl w:val="0"/>
                <w:lang w:val="en-US"/>
              </w:rPr>
              <w:t>a disruption in the normal function of the brain that can be caused by a bump, blow, or jolt to the head, or penetrating head injury." (U.S. Department of Veterans Affairs (n.d.). Depending on the severity of the TBI, the individual may experience a change of consciousness ranging from a feeling of being dazed and confused to complete loss of consciousness. A loss of memory may also be experienced directly relating to the incident or after the injury. TBI</w:t>
            </w:r>
            <w:r>
              <w:rPr>
                <w:rFonts w:ascii="Arial" w:hAnsi="Arial" w:hint="default"/>
                <w:sz w:val="20"/>
                <w:szCs w:val="20"/>
                <w:rtl w:val="0"/>
                <w:lang w:val="en-US"/>
              </w:rPr>
              <w:t>’</w:t>
            </w:r>
            <w:r>
              <w:rPr>
                <w:rFonts w:ascii="Arial" w:hAnsi="Arial"/>
                <w:sz w:val="20"/>
                <w:szCs w:val="20"/>
                <w:rtl w:val="0"/>
                <w:lang w:val="en-US"/>
              </w:rPr>
              <w:t xml:space="preserve">s consist of a number of comorbidities to include, headaches, irritability, and sleep disorders to memory problems, slower thinking, and depression. These symptoms can directly affect the Veteran and cause physical and mental issues not only for Martina but also with her family and friends as well as difficulties reintegrating with the public. Veterans who suffer from TBI may require different levels of care and treatment throughout the remainder of their lives. The initial treatment begins with evaluation and acute rehabilitation. </w:t>
            </w:r>
          </w:p>
          <w:p>
            <w:pPr>
              <w:pStyle w:val="Normal.0"/>
              <w:bidi w:val="0"/>
              <w:spacing w:after="0" w:line="240" w:lineRule="auto"/>
              <w:ind w:left="0" w:right="0" w:firstLine="0"/>
              <w:jc w:val="left"/>
              <w:rPr>
                <w:rFonts w:ascii="Arial" w:cs="Arial" w:hAnsi="Arial" w:eastAsia="Arial"/>
                <w:sz w:val="20"/>
                <w:szCs w:val="20"/>
                <w:rtl w:val="0"/>
              </w:rPr>
            </w:pPr>
            <w:r>
              <w:rPr>
                <w:rFonts w:ascii="Arial" w:hAnsi="Arial"/>
                <w:sz w:val="20"/>
                <w:szCs w:val="20"/>
                <w:rtl w:val="0"/>
                <w:lang w:val="en-US"/>
              </w:rPr>
              <w:t>There are a number of resources and agencies for Veterans suffering from Traumatic Brain Injuries to include the Brain Injury Association of America, the Defense and Veterans Brain Injury Center, the National Association of State Head Injury Administrators, and the Polytrauma/TBI System of Care (PSC) Veterans Facilities. These are just a few of the many facilities available to Veterans suffering from TBI. The PSC provides a continuum of integrated care through 5 Polytrauma Transitional Rehabilitation Programs (PTRP), 23 Polytrauma Network Sites (PNS), 86 Polytrauma Support Clinic Teams (PSCT), and 39 Polytrauma Points of Contact (POC), located at VA medical centers across the country (2010, September 27). While there seems to be a lot of struggles and issues with our system and care for our Veterans, I have seen firsthand how the treatment and care provided to our Veterans has greatly affected and improved one of my own. It really is a system that provides the best care for Veterans suffering from TBI</w:t>
            </w:r>
            <w:r>
              <w:rPr>
                <w:rFonts w:ascii="Arial" w:hAnsi="Arial" w:hint="default"/>
                <w:sz w:val="20"/>
                <w:szCs w:val="20"/>
                <w:rtl w:val="0"/>
                <w:lang w:val="en-US"/>
              </w:rPr>
              <w:t>’</w:t>
            </w:r>
            <w:r>
              <w:rPr>
                <w:rFonts w:ascii="Arial" w:hAnsi="Arial"/>
                <w:sz w:val="20"/>
                <w:szCs w:val="20"/>
                <w:rtl w:val="0"/>
                <w:lang w:val="en-US"/>
              </w:rPr>
              <w:t xml:space="preserve">s with people who have once walked in their shoes. </w:t>
            </w:r>
          </w:p>
          <w:p>
            <w:pPr>
              <w:pStyle w:val="Normal.0"/>
              <w:bidi w:val="0"/>
              <w:spacing w:after="0" w:line="240" w:lineRule="auto"/>
              <w:ind w:left="0" w:right="0" w:firstLine="0"/>
              <w:jc w:val="left"/>
              <w:rPr>
                <w:rtl w:val="0"/>
              </w:rPr>
            </w:pPr>
            <w:r>
              <w:rPr>
                <w:rFonts w:ascii="Calibri" w:cs="Calibri" w:hAnsi="Calibri" w:eastAsia="Calibri"/>
                <w:sz w:val="22"/>
                <w:szCs w:val="22"/>
                <w:rtl w:val="0"/>
                <w:lang w:val="en-US"/>
              </w:rPr>
              <w:t xml:space="preserve">  </w:t>
            </w:r>
          </w:p>
        </w:tc>
        <w:tc>
          <w:tcPr>
            <w:tcW w:type="dxa" w:w="2597"/>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There are many different points of potential growth and flourishing for Martina at this stage in her life. First and foremost, with Martina being a veteran and interested in attending school to finish her Bachelor</w:t>
            </w:r>
            <w:r>
              <w:rPr>
                <w:rFonts w:ascii="Arial" w:hAnsi="Arial" w:hint="default"/>
                <w:sz w:val="20"/>
                <w:szCs w:val="20"/>
                <w:rtl w:val="0"/>
                <w:lang w:val="en-US"/>
              </w:rPr>
              <w:t>’</w:t>
            </w:r>
            <w:r>
              <w:rPr>
                <w:rFonts w:ascii="Arial" w:hAnsi="Arial"/>
                <w:sz w:val="20"/>
                <w:szCs w:val="20"/>
                <w:rtl w:val="0"/>
                <w:lang w:val="en-US"/>
              </w:rPr>
              <w:t xml:space="preserve">s degree, it would be beneficial for her to look into the GI Bill. The GI is </w:t>
            </w:r>
            <w:r>
              <w:rPr>
                <w:rFonts w:ascii="Arial" w:hAnsi="Arial" w:hint="default"/>
                <w:sz w:val="20"/>
                <w:szCs w:val="20"/>
                <w:rtl w:val="0"/>
                <w:lang w:val="en-US"/>
              </w:rPr>
              <w:t>“</w:t>
            </w:r>
            <w:r>
              <w:rPr>
                <w:rFonts w:ascii="Arial" w:hAnsi="Arial"/>
                <w:sz w:val="20"/>
                <w:szCs w:val="20"/>
                <w:rtl w:val="0"/>
                <w:lang w:val="en-US"/>
              </w:rPr>
              <w:t>designed to help servicemembers and eligible veterans cover the costs associated with getting an education or training</w:t>
            </w:r>
            <w:r>
              <w:rPr>
                <w:rFonts w:ascii="Arial" w:hAnsi="Arial" w:hint="default"/>
                <w:sz w:val="20"/>
                <w:szCs w:val="20"/>
                <w:rtl w:val="0"/>
                <w:lang w:val="en-US"/>
              </w:rPr>
              <w:t xml:space="preserve">” </w:t>
            </w:r>
            <w:r>
              <w:rPr>
                <w:rFonts w:ascii="Arial" w:hAnsi="Arial"/>
                <w:sz w:val="20"/>
                <w:szCs w:val="20"/>
                <w:rtl w:val="0"/>
                <w:lang w:val="en-US"/>
              </w:rPr>
              <w:t>(</w:t>
            </w:r>
            <w:r>
              <w:rPr>
                <w:rFonts w:ascii="Arial" w:hAnsi="Arial" w:hint="default"/>
                <w:sz w:val="20"/>
                <w:szCs w:val="20"/>
                <w:rtl w:val="0"/>
                <w:lang w:val="en-US"/>
              </w:rPr>
              <w:t>“</w:t>
            </w:r>
            <w:r>
              <w:rPr>
                <w:rFonts w:ascii="Arial" w:hAnsi="Arial"/>
                <w:sz w:val="20"/>
                <w:szCs w:val="20"/>
                <w:rtl w:val="0"/>
                <w:lang w:val="en-US"/>
              </w:rPr>
              <w:t>GI Bill Overivew</w:t>
            </w:r>
            <w:r>
              <w:rPr>
                <w:rFonts w:ascii="Arial" w:hAnsi="Arial" w:hint="default"/>
                <w:sz w:val="20"/>
                <w:szCs w:val="20"/>
                <w:rtl w:val="0"/>
                <w:lang w:val="en-US"/>
              </w:rPr>
              <w:t>”</w:t>
            </w:r>
            <w:r>
              <w:rPr>
                <w:rFonts w:ascii="Arial" w:hAnsi="Arial"/>
                <w:sz w:val="20"/>
                <w:szCs w:val="20"/>
                <w:rtl w:val="0"/>
                <w:lang w:val="en-US"/>
              </w:rPr>
              <w:t>, n.d). This is an opportunity where Martina could school paid for during six years and an allowance for living expenses. The GI Bill could help with costs of living expenses such as the living room model.</w:t>
            </w:r>
          </w:p>
          <w:p>
            <w:pPr>
              <w:pStyle w:val="Normal.0"/>
              <w:bidi w:val="0"/>
              <w:spacing w:after="0" w:line="240" w:lineRule="auto"/>
              <w:ind w:left="0" w:right="0" w:firstLine="0"/>
              <w:jc w:val="left"/>
              <w:rPr>
                <w:rtl w:val="0"/>
              </w:rPr>
            </w:pPr>
            <w:r>
              <w:rPr>
                <w:rFonts w:ascii="Arial Unicode MS" w:cs="Arial Unicode MS" w:hAnsi="Arial Unicode MS" w:eastAsia="Arial Unicode MS"/>
                <w:b w:val="0"/>
                <w:bCs w:val="0"/>
                <w:i w:val="0"/>
                <w:iCs w:val="0"/>
                <w:sz w:val="20"/>
                <w:szCs w:val="20"/>
                <w:lang w:val="en-US"/>
              </w:rPr>
              <w:br w:type="textWrapping"/>
            </w:r>
            <w:r>
              <w:rPr>
                <w:rFonts w:ascii="Arial" w:hAnsi="Arial"/>
                <w:sz w:val="20"/>
                <w:szCs w:val="20"/>
                <w:rtl w:val="0"/>
                <w:lang w:val="en-US"/>
              </w:rPr>
              <w:t xml:space="preserve">Furthermore, if Martina resided in a long-term care facility that boasted the living room household model, it would create an atmosphere for community, social interaction, and flexibility. This model allows for Martina to be social but respect her limits in comfort. This model is designed as more of a neighborhood feeling that provides options such as </w:t>
            </w:r>
            <w:r>
              <w:rPr>
                <w:rFonts w:ascii="Arial" w:hAnsi="Arial" w:hint="default"/>
                <w:sz w:val="20"/>
                <w:szCs w:val="20"/>
                <w:rtl w:val="0"/>
                <w:lang w:val="en-US"/>
              </w:rPr>
              <w:t>“</w:t>
            </w:r>
            <w:r>
              <w:rPr>
                <w:rFonts w:ascii="Arial" w:hAnsi="Arial"/>
                <w:sz w:val="20"/>
                <w:szCs w:val="20"/>
                <w:rtl w:val="0"/>
                <w:lang w:val="en-US"/>
              </w:rPr>
              <w:t>library, bank, gift shop, chapel, bistro, beauty/barber, and PT/OT</w:t>
            </w:r>
            <w:r>
              <w:rPr>
                <w:rFonts w:ascii="Arial" w:hAnsi="Arial" w:hint="default"/>
                <w:sz w:val="20"/>
                <w:szCs w:val="20"/>
                <w:rtl w:val="0"/>
                <w:lang w:val="en-US"/>
              </w:rPr>
              <w:t xml:space="preserve">” </w:t>
            </w:r>
            <w:r>
              <w:rPr>
                <w:rFonts w:ascii="Arial" w:hAnsi="Arial"/>
                <w:sz w:val="20"/>
                <w:szCs w:val="20"/>
                <w:rtl w:val="0"/>
                <w:lang w:val="en-US"/>
              </w:rPr>
              <w:t xml:space="preserve">(Perley, 2016). All these activities create an environment that can help Martina establish the social life that is desired. This environment could potentially boast medical care which would help offset the costs that Martina is occurring by paying for her own medical care.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 xml:space="preserve">At this point for Martina, there are a few options that she could take advantage of. First of all, the most important thing to address at this stage in her life is the homelessness. Again, with her being a Veteran, there are options out there. The U.S. Department of Housing and Urban Development- VA Supportive Housing, HUD-VASH, work in housing homeless Veterans to stable and permanent housing. </w:t>
            </w:r>
          </w:p>
          <w:p>
            <w:pPr>
              <w:pStyle w:val="Normal.0"/>
              <w:spacing w:after="0" w:line="240" w:lineRule="auto"/>
              <w:rPr>
                <w:rFonts w:ascii="Arial" w:cs="Arial" w:hAnsi="Arial" w:eastAsia="Arial"/>
                <w:sz w:val="20"/>
                <w:szCs w:val="20"/>
                <w:lang w:val="en-US"/>
              </w:rPr>
            </w:pPr>
          </w:p>
          <w:p>
            <w:pPr>
              <w:pStyle w:val="Normal.0"/>
              <w:bidi w:val="0"/>
              <w:spacing w:after="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What would be the most beneficial in this entire matter, would be if Martina had a case manager that she was working with. The case manager would have the information for a variety of different resources. </w:t>
            </w:r>
          </w:p>
          <w:p>
            <w:pPr>
              <w:pStyle w:val="Normal.0"/>
              <w:spacing w:after="0" w:line="240" w:lineRule="auto"/>
              <w:rPr>
                <w:rFonts w:ascii="Arial" w:cs="Arial" w:hAnsi="Arial" w:eastAsia="Arial"/>
                <w:sz w:val="20"/>
                <w:szCs w:val="20"/>
                <w:lang w:val="en-US"/>
              </w:rPr>
            </w:pPr>
          </w:p>
          <w:p>
            <w:pPr>
              <w:pStyle w:val="Normal.0"/>
              <w:bidi w:val="0"/>
              <w:spacing w:after="0" w:line="240" w:lineRule="auto"/>
              <w:ind w:left="0" w:right="0" w:firstLine="0"/>
              <w:jc w:val="left"/>
              <w:rPr>
                <w:rFonts w:ascii="Arial" w:cs="Arial" w:hAnsi="Arial" w:eastAsia="Arial"/>
                <w:sz w:val="20"/>
                <w:szCs w:val="20"/>
                <w:rtl w:val="0"/>
              </w:rPr>
            </w:pPr>
            <w:r>
              <w:rPr>
                <w:rFonts w:ascii="Arial" w:hAnsi="Arial"/>
                <w:sz w:val="20"/>
                <w:szCs w:val="20"/>
                <w:rtl w:val="0"/>
                <w:lang w:val="en-US"/>
              </w:rPr>
              <w:t xml:space="preserve">If she is not working with a case manager at this point, but had access to technology, there are many resources that she could look into online. Websites such as </w:t>
            </w:r>
            <w:r>
              <w:rPr>
                <w:rStyle w:val="Hyperlink.0"/>
                <w:rFonts w:ascii="Arial" w:cs="Arial" w:hAnsi="Arial" w:eastAsia="Arial"/>
                <w:sz w:val="20"/>
                <w:szCs w:val="20"/>
                <w:lang w:val="en-US"/>
              </w:rPr>
              <w:fldChar w:fldCharType="begin" w:fldLock="0"/>
            </w:r>
            <w:r>
              <w:rPr>
                <w:rStyle w:val="Hyperlink.0"/>
                <w:rFonts w:ascii="Arial" w:cs="Arial" w:hAnsi="Arial" w:eastAsia="Arial"/>
                <w:sz w:val="20"/>
                <w:szCs w:val="20"/>
                <w:lang w:val="en-US"/>
              </w:rPr>
              <w:instrText xml:space="preserve"> HYPERLINK "http://www.seniorliving.com"</w:instrText>
            </w:r>
            <w:r>
              <w:rPr>
                <w:rStyle w:val="Hyperlink.0"/>
                <w:rFonts w:ascii="Arial" w:cs="Arial" w:hAnsi="Arial" w:eastAsia="Arial"/>
                <w:sz w:val="20"/>
                <w:szCs w:val="20"/>
                <w:lang w:val="en-US"/>
              </w:rPr>
              <w:fldChar w:fldCharType="separate" w:fldLock="0"/>
            </w:r>
            <w:r>
              <w:rPr>
                <w:rStyle w:val="Hyperlink.0"/>
                <w:rFonts w:ascii="Arial" w:hAnsi="Arial"/>
                <w:sz w:val="20"/>
                <w:szCs w:val="20"/>
                <w:rtl w:val="0"/>
                <w:lang w:val="en-US"/>
              </w:rPr>
              <w:t>www.seniorliving.com</w:t>
            </w:r>
            <w:r>
              <w:rPr>
                <w:rFonts w:ascii="Arial" w:cs="Arial" w:hAnsi="Arial" w:eastAsia="Arial"/>
                <w:sz w:val="20"/>
                <w:szCs w:val="20"/>
              </w:rPr>
              <w:fldChar w:fldCharType="end" w:fldLock="0"/>
            </w:r>
            <w:r>
              <w:rPr>
                <w:rFonts w:ascii="Arial" w:hAnsi="Arial"/>
                <w:sz w:val="20"/>
                <w:szCs w:val="20"/>
                <w:rtl w:val="0"/>
                <w:lang w:val="en-US"/>
              </w:rPr>
              <w:t>, focus on providing a directory and hotline to help with housing (</w:t>
            </w:r>
            <w:r>
              <w:rPr>
                <w:rFonts w:ascii="Arial" w:hAnsi="Arial" w:hint="default"/>
                <w:sz w:val="20"/>
                <w:szCs w:val="20"/>
                <w:rtl w:val="0"/>
                <w:lang w:val="en-US"/>
              </w:rPr>
              <w:t>“</w:t>
            </w:r>
            <w:r>
              <w:rPr>
                <w:rFonts w:ascii="Arial" w:hAnsi="Arial"/>
                <w:sz w:val="20"/>
                <w:szCs w:val="20"/>
                <w:rtl w:val="0"/>
                <w:lang w:val="en-US"/>
              </w:rPr>
              <w:t>Assisted Living for Disabled Adults &amp; Seniors Handicapped Elder Care</w:t>
            </w:r>
            <w:r>
              <w:rPr>
                <w:rFonts w:ascii="Arial" w:hAnsi="Arial" w:hint="default"/>
                <w:sz w:val="20"/>
                <w:szCs w:val="20"/>
                <w:rtl w:val="0"/>
                <w:lang w:val="en-US"/>
              </w:rPr>
              <w:t>”</w:t>
            </w:r>
            <w:r>
              <w:rPr>
                <w:rFonts w:ascii="Arial" w:hAnsi="Arial"/>
                <w:sz w:val="20"/>
                <w:szCs w:val="20"/>
                <w:rtl w:val="0"/>
                <w:lang w:val="en-US"/>
              </w:rPr>
              <w:t xml:space="preserve">, 2019). It is important to note that while Martina may state that she is fine with her current conditions, it is imperative for care for Martina to address the many different challenges. Challenges include mobility, mental handicaps, and potential trauma. </w:t>
            </w:r>
          </w:p>
          <w:p>
            <w:pPr>
              <w:pStyle w:val="Normal.0"/>
              <w:spacing w:after="0" w:line="240" w:lineRule="auto"/>
              <w:rPr>
                <w:rFonts w:ascii="Arial" w:cs="Arial" w:hAnsi="Arial" w:eastAsia="Arial"/>
                <w:sz w:val="20"/>
                <w:szCs w:val="20"/>
                <w:lang w:val="en-US"/>
              </w:rPr>
            </w:pPr>
          </w:p>
          <w:p>
            <w:pPr>
              <w:pStyle w:val="Normal.0"/>
              <w:bidi w:val="0"/>
              <w:spacing w:after="0" w:line="240" w:lineRule="auto"/>
              <w:ind w:left="0" w:right="0" w:firstLine="0"/>
              <w:jc w:val="left"/>
              <w:rPr>
                <w:rtl w:val="0"/>
              </w:rPr>
            </w:pPr>
            <w:r>
              <w:rPr>
                <w:rFonts w:ascii="Arial" w:hAnsi="Arial"/>
                <w:sz w:val="20"/>
                <w:szCs w:val="20"/>
                <w:rtl w:val="0"/>
                <w:lang w:val="en-US"/>
              </w:rPr>
              <w:t>A resource that can help work with all of the aforementioned issues would be the EDL. The EDL is a low-income housing help service charity that gears towards helping elderly individuals get into a living environment that is beneficial and safe (</w:t>
            </w:r>
            <w:r>
              <w:rPr>
                <w:rFonts w:ascii="Arial" w:hAnsi="Arial" w:hint="default"/>
                <w:sz w:val="20"/>
                <w:szCs w:val="20"/>
                <w:rtl w:val="0"/>
                <w:lang w:val="en-US"/>
              </w:rPr>
              <w:t>“</w:t>
            </w:r>
            <w:r>
              <w:rPr>
                <w:rFonts w:ascii="Arial" w:hAnsi="Arial"/>
                <w:sz w:val="20"/>
                <w:szCs w:val="20"/>
                <w:rtl w:val="0"/>
                <w:lang w:val="en-US"/>
              </w:rPr>
              <w:t>Financial Assistances</w:t>
            </w:r>
            <w:r>
              <w:rPr>
                <w:rFonts w:ascii="Arial" w:hAnsi="Arial" w:hint="default"/>
                <w:sz w:val="20"/>
                <w:szCs w:val="20"/>
                <w:rtl w:val="0"/>
                <w:lang w:val="en-US"/>
              </w:rPr>
              <w:t>”</w:t>
            </w:r>
            <w:r>
              <w:rPr>
                <w:rFonts w:ascii="Arial" w:hAnsi="Arial"/>
                <w:sz w:val="20"/>
                <w:szCs w:val="20"/>
                <w:rtl w:val="0"/>
                <w:lang w:val="en-US"/>
              </w:rPr>
              <w:t xml:space="preserve">, n.d.). While this program is only available in Texas, there are many similar options across America. </w:t>
            </w:r>
          </w:p>
        </w:tc>
        <w:tc>
          <w:tcPr>
            <w:tcW w:type="dxa" w:w="259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spacing w:after="0" w:line="240" w:lineRule="auto"/>
              <w:rPr>
                <w:rFonts w:ascii="Arial" w:cs="Arial" w:hAnsi="Arial" w:eastAsia="Arial"/>
                <w:sz w:val="20"/>
                <w:szCs w:val="20"/>
              </w:rPr>
            </w:pPr>
            <w:r>
              <w:rPr>
                <w:rFonts w:ascii="Arial" w:hAnsi="Arial"/>
                <w:sz w:val="20"/>
                <w:szCs w:val="20"/>
                <w:rtl w:val="0"/>
                <w:lang w:val="en-US"/>
              </w:rPr>
              <w:t xml:space="preserve">There are three main points that provide an indicator for care for Martina at this point her in life. First of all, her medical concerns and hearing are overall managed and in good standing. That potentially opens up more opportunities for Martina. Secondly, she is social and enjoys spending time with her friends. This can give an indicator into what type of environment may work out the best for Martina. Last, Martina has financial concerns. This leads to a few different opportunities. In Arizona, three residencies known as Arizona State Veteran Home, AZ Life Assisted Living, and Arizona Buttes Assisted Living Home are all long term care facilities with different calibers of care that focus on the care of Veterans as they age. This type of facility is often free, or at a reduced cost of care to the patient because of the service work in prior years. </w:t>
            </w:r>
          </w:p>
          <w:p>
            <w:pPr>
              <w:pStyle w:val="Normal.0"/>
              <w:spacing w:after="0" w:line="240" w:lineRule="auto"/>
              <w:rPr>
                <w:rFonts w:ascii="Arial" w:cs="Arial" w:hAnsi="Arial" w:eastAsia="Arial"/>
                <w:sz w:val="20"/>
                <w:szCs w:val="20"/>
                <w:lang w:val="en-US"/>
              </w:rPr>
            </w:pPr>
          </w:p>
          <w:p>
            <w:pPr>
              <w:pStyle w:val="Normal.0"/>
              <w:bidi w:val="0"/>
              <w:spacing w:after="0" w:line="240" w:lineRule="auto"/>
              <w:ind w:left="0" w:right="0" w:firstLine="0"/>
              <w:jc w:val="left"/>
              <w:rPr>
                <w:rtl w:val="0"/>
              </w:rPr>
            </w:pPr>
            <w:r>
              <w:rPr>
                <w:rFonts w:ascii="Arial" w:hAnsi="Arial"/>
                <w:sz w:val="20"/>
                <w:szCs w:val="20"/>
                <w:rtl w:val="0"/>
                <w:lang w:val="en-US"/>
              </w:rPr>
              <w:t xml:space="preserve">This type of long-term care provides a solution for Martina in the three different aspects. This provides her the opportunity for stable housing that encourages interaction and care for her. This also provides her with the camaraderie of her fellow service men and women. Last, this environment would help with the financial concerns that are potentially plaguing Martina at this point. </w:t>
            </w:r>
          </w:p>
        </w:tc>
      </w:tr>
    </w:tbl>
    <w:p>
      <w:pPr>
        <w:pStyle w:val="Normal.0"/>
        <w:widowControl w:val="0"/>
        <w:spacing w:line="240" w:lineRule="auto"/>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b w:val="1"/>
          <w:bCs w:val="1"/>
          <w:sz w:val="20"/>
          <w:szCs w:val="20"/>
        </w:rPr>
      </w:pPr>
      <w:r>
        <w:rPr>
          <w:rFonts w:ascii="Arial" w:hAnsi="Arial"/>
          <w:b w:val="1"/>
          <w:bCs w:val="1"/>
          <w:sz w:val="20"/>
          <w:szCs w:val="20"/>
          <w:rtl w:val="0"/>
          <w:lang w:val="en-US"/>
        </w:rPr>
        <w:t xml:space="preserve">Part 2: </w:t>
      </w:r>
    </w:p>
    <w:p>
      <w:pPr>
        <w:pStyle w:val="Normal.0"/>
        <w:rPr>
          <w:rFonts w:ascii="Arial" w:cs="Arial" w:hAnsi="Arial" w:eastAsia="Arial"/>
          <w:sz w:val="20"/>
          <w:szCs w:val="20"/>
        </w:rPr>
      </w:pPr>
      <w:r>
        <w:rPr>
          <w:rFonts w:ascii="Arial" w:hAnsi="Arial"/>
          <w:b w:val="1"/>
          <w:bCs w:val="1"/>
          <w:sz w:val="20"/>
          <w:szCs w:val="20"/>
          <w:rtl w:val="0"/>
          <w:lang w:val="en-US"/>
        </w:rPr>
        <w:t xml:space="preserve">Discuss </w:t>
      </w:r>
      <w:r>
        <w:rPr>
          <w:rFonts w:ascii="Arial" w:hAnsi="Arial"/>
          <w:sz w:val="20"/>
          <w:szCs w:val="20"/>
          <w:rtl w:val="0"/>
          <w:lang w:val="en-US"/>
        </w:rPr>
        <w:t xml:space="preserve">the choices above with your team. </w:t>
      </w:r>
    </w:p>
    <w:p>
      <w:pPr>
        <w:pStyle w:val="Normal.0"/>
        <w:rPr>
          <w:rFonts w:ascii="Arial" w:cs="Arial" w:hAnsi="Arial" w:eastAsia="Arial"/>
          <w:sz w:val="20"/>
          <w:szCs w:val="20"/>
        </w:rPr>
      </w:pPr>
      <w:r>
        <w:rPr>
          <w:rFonts w:ascii="Arial" w:hAnsi="Arial"/>
          <w:b w:val="1"/>
          <w:bCs w:val="1"/>
          <w:sz w:val="20"/>
          <w:szCs w:val="20"/>
          <w:rtl w:val="0"/>
          <w:lang w:val="en-US"/>
        </w:rPr>
        <w:t>Write</w:t>
      </w:r>
      <w:r>
        <w:rPr>
          <w:rFonts w:ascii="Arial" w:hAnsi="Arial"/>
          <w:sz w:val="20"/>
          <w:szCs w:val="20"/>
          <w:rtl w:val="0"/>
          <w:lang w:val="en-US"/>
        </w:rPr>
        <w:t>, as individuals, a 700- to 1,050-world analysis of the team</w:t>
      </w:r>
      <w:r>
        <w:rPr>
          <w:rFonts w:ascii="Arial" w:hAnsi="Arial" w:hint="default"/>
          <w:sz w:val="20"/>
          <w:szCs w:val="20"/>
          <w:rtl w:val="0"/>
          <w:lang w:val="en-US"/>
        </w:rPr>
        <w:t>’</w:t>
      </w:r>
      <w:r>
        <w:rPr>
          <w:rFonts w:ascii="Arial" w:hAnsi="Arial"/>
          <w:sz w:val="20"/>
          <w:szCs w:val="20"/>
          <w:rtl w:val="0"/>
          <w:lang w:val="en-US"/>
        </w:rPr>
        <w:t>s choices. Include the strengths and weaknesses of their choices, relevant points from your team discussion, and what you would personally change if given the opportunity.</w:t>
      </w: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sz w:val="20"/>
          <w:szCs w:val="20"/>
        </w:rPr>
      </w:pPr>
    </w:p>
    <w:p>
      <w:pPr>
        <w:pStyle w:val="Normal.0"/>
        <w:rPr>
          <w:rFonts w:ascii="Arial" w:cs="Arial" w:hAnsi="Arial" w:eastAsia="Arial"/>
          <w:b w:val="1"/>
          <w:bCs w:val="1"/>
          <w:sz w:val="20"/>
          <w:szCs w:val="20"/>
        </w:rPr>
      </w:pPr>
      <w:r>
        <w:rPr>
          <w:rFonts w:ascii="Arial" w:hAnsi="Arial"/>
          <w:b w:val="1"/>
          <w:bCs w:val="1"/>
          <w:sz w:val="20"/>
          <w:szCs w:val="20"/>
          <w:rtl w:val="0"/>
          <w:lang w:val="en-US"/>
        </w:rPr>
        <w:t>Reference Page</w:t>
      </w:r>
    </w:p>
    <w:p>
      <w:pPr>
        <w:pStyle w:val="Normal.0"/>
        <w:ind w:left="720" w:hanging="720"/>
        <w:rPr>
          <w:rFonts w:ascii="Arial" w:cs="Arial" w:hAnsi="Arial" w:eastAsia="Arial"/>
          <w:sz w:val="20"/>
          <w:szCs w:val="20"/>
        </w:rPr>
      </w:pPr>
      <w:r>
        <w:rPr>
          <w:rFonts w:ascii="Arial" w:hAnsi="Arial"/>
          <w:sz w:val="20"/>
          <w:szCs w:val="20"/>
          <w:rtl w:val="0"/>
          <w:lang w:val="en-US"/>
        </w:rPr>
        <w:t>Assisted Living for Disabled Adults &amp; Seniors | Handicapped Elder Care. (2019, March 11). Retrieved April 11, 2019, from https://www.seniorliving.org/assisted-living/disability/</w:t>
      </w:r>
    </w:p>
    <w:p>
      <w:pPr>
        <w:pStyle w:val="Normal.0"/>
        <w:spacing w:after="0" w:line="240" w:lineRule="auto"/>
        <w:rPr>
          <w:rFonts w:ascii="Arial" w:cs="Arial" w:hAnsi="Arial" w:eastAsia="Arial"/>
          <w:sz w:val="20"/>
          <w:szCs w:val="20"/>
          <w:shd w:val="clear" w:color="auto" w:fill="ffffff"/>
        </w:rPr>
      </w:pPr>
      <w:r>
        <w:rPr>
          <w:rFonts w:ascii="Arial" w:hAnsi="Arial"/>
          <w:sz w:val="20"/>
          <w:szCs w:val="20"/>
          <w:shd w:val="clear" w:color="auto" w:fill="ffffff"/>
          <w:rtl w:val="0"/>
          <w:lang w:val="en-US"/>
        </w:rPr>
        <w:t>Financial Assistance. (n.d.). Retrieved April 11, 2019, from https://www.elderlyordisabledliving.com/faq/</w:t>
      </w:r>
    </w:p>
    <w:p>
      <w:pPr>
        <w:pStyle w:val="Normal.0"/>
        <w:spacing w:after="0" w:line="240" w:lineRule="auto"/>
        <w:rPr>
          <w:rFonts w:ascii="Arial" w:cs="Arial" w:hAnsi="Arial" w:eastAsia="Arial"/>
          <w:sz w:val="20"/>
          <w:szCs w:val="20"/>
          <w:shd w:val="clear" w:color="auto" w:fill="ffffff"/>
        </w:rPr>
      </w:pPr>
    </w:p>
    <w:p>
      <w:pPr>
        <w:pStyle w:val="Normal.0"/>
        <w:spacing w:after="0" w:line="240" w:lineRule="auto"/>
        <w:ind w:left="720" w:hanging="720"/>
        <w:rPr>
          <w:rFonts w:ascii="Arial" w:cs="Arial" w:hAnsi="Arial" w:eastAsia="Arial"/>
          <w:sz w:val="20"/>
          <w:szCs w:val="20"/>
        </w:rPr>
      </w:pPr>
      <w:r>
        <w:rPr>
          <w:rFonts w:ascii="Arial" w:hAnsi="Arial"/>
          <w:sz w:val="20"/>
          <w:szCs w:val="20"/>
          <w:rtl w:val="0"/>
          <w:lang w:val="en-US"/>
        </w:rPr>
        <w:t>GI Bill Overview. (n.d.). Retrieved April 11, 2019, from https://www.military.com/education/gi-bill/learn-to-use-your-gi-bill.html</w:t>
      </w:r>
    </w:p>
    <w:p>
      <w:pPr>
        <w:pStyle w:val="Normal.0"/>
        <w:spacing w:after="0" w:line="240" w:lineRule="auto"/>
        <w:rPr>
          <w:rFonts w:ascii="Arial" w:cs="Arial" w:hAnsi="Arial" w:eastAsia="Arial"/>
          <w:sz w:val="20"/>
          <w:szCs w:val="20"/>
        </w:rPr>
      </w:pPr>
    </w:p>
    <w:p>
      <w:pPr>
        <w:pStyle w:val="Normal.0"/>
        <w:spacing w:line="240" w:lineRule="auto"/>
        <w:ind w:left="720" w:hanging="720"/>
        <w:rPr>
          <w:rFonts w:ascii="Arial" w:cs="Arial" w:hAnsi="Arial" w:eastAsia="Arial"/>
          <w:sz w:val="20"/>
          <w:szCs w:val="20"/>
        </w:rPr>
      </w:pPr>
      <w:r>
        <w:rPr>
          <w:rFonts w:ascii="Arial" w:hAnsi="Arial"/>
          <w:sz w:val="20"/>
          <w:szCs w:val="20"/>
          <w:rtl w:val="0"/>
          <w:lang w:val="en-US"/>
        </w:rPr>
        <w:t>Perley, R.</w:t>
      </w:r>
      <w:r>
        <w:rPr>
          <w:rFonts w:ascii="Arial" w:hAnsi="Arial" w:hint="default"/>
          <w:sz w:val="20"/>
          <w:szCs w:val="20"/>
          <w:rtl w:val="0"/>
          <w:lang w:val="en-US"/>
        </w:rPr>
        <w:t> </w:t>
      </w:r>
      <w:r>
        <w:rPr>
          <w:rFonts w:ascii="Arial" w:hAnsi="Arial"/>
          <w:i w:val="1"/>
          <w:iCs w:val="1"/>
          <w:sz w:val="20"/>
          <w:szCs w:val="20"/>
          <w:rtl w:val="0"/>
          <w:lang w:val="en-US"/>
        </w:rPr>
        <w:t>Managing the Long-Term Care Facility: Practical Approaches to Providing Quality Care</w:t>
      </w:r>
      <w:r>
        <w:rPr>
          <w:rFonts w:ascii="Arial" w:hAnsi="Arial"/>
          <w:sz w:val="20"/>
          <w:szCs w:val="20"/>
          <w:rtl w:val="0"/>
          <w:lang w:val="en-US"/>
        </w:rPr>
        <w:t>. [University of Phoenix]. Retrieved from</w:t>
      </w:r>
      <w:r>
        <w:rPr>
          <w:rFonts w:ascii="Arial" w:hAnsi="Arial" w:hint="default"/>
          <w:sz w:val="20"/>
          <w:szCs w:val="20"/>
          <w:rtl w:val="0"/>
          <w:lang w:val="en-US"/>
        </w:rPr>
        <w:t> </w:t>
      </w:r>
      <w:r>
        <w:rPr>
          <w:rFonts w:ascii="Arial" w:hAnsi="Arial"/>
          <w:sz w:val="20"/>
          <w:szCs w:val="20"/>
          <w:rtl w:val="0"/>
          <w:lang w:val="en-US"/>
        </w:rPr>
        <w:t>https://phoenix.vitalsource.com/#/books/9781118654989/</w:t>
      </w:r>
    </w:p>
    <w:p>
      <w:pPr>
        <w:pStyle w:val="Normal.0"/>
        <w:spacing w:line="240" w:lineRule="auto"/>
        <w:ind w:left="720" w:hanging="720"/>
        <w:rPr>
          <w:rFonts w:ascii="Arial" w:cs="Arial" w:hAnsi="Arial" w:eastAsia="Arial"/>
          <w:sz w:val="20"/>
          <w:szCs w:val="20"/>
        </w:rPr>
      </w:pPr>
    </w:p>
    <w:p>
      <w:pPr>
        <w:pStyle w:val="Normal.0"/>
        <w:spacing w:after="0" w:line="240" w:lineRule="auto"/>
        <w:ind w:left="720" w:hanging="720"/>
        <w:rPr>
          <w:rFonts w:ascii="Arial" w:cs="Arial" w:hAnsi="Arial" w:eastAsia="Arial"/>
          <w:sz w:val="20"/>
          <w:szCs w:val="20"/>
        </w:rPr>
      </w:pPr>
      <w:r>
        <w:rPr>
          <w:rFonts w:ascii="Arial" w:hAnsi="Arial"/>
          <w:sz w:val="20"/>
          <w:szCs w:val="20"/>
          <w:rtl w:val="0"/>
          <w:lang w:val="en-US"/>
        </w:rPr>
        <w:t xml:space="preserve">U.S. Department of Veterans Affairs (2010, September 27). </w:t>
      </w:r>
      <w:r>
        <w:rPr>
          <w:rFonts w:ascii="Arial" w:hAnsi="Arial"/>
          <w:i w:val="1"/>
          <w:iCs w:val="1"/>
          <w:sz w:val="20"/>
          <w:szCs w:val="20"/>
          <w:rtl w:val="0"/>
          <w:lang w:val="en-US"/>
        </w:rPr>
        <w:t>Polytrauma/TBI System of Care</w:t>
      </w:r>
      <w:r>
        <w:rPr>
          <w:rFonts w:ascii="Arial" w:hAnsi="Arial"/>
          <w:sz w:val="20"/>
          <w:szCs w:val="20"/>
          <w:rtl w:val="0"/>
          <w:lang w:val="en-US"/>
        </w:rPr>
        <w:t>. Retrieved April 15, 2019, from https://www.polytrauma.va.gov/system-of-care/care-facilities/index.</w:t>
      </w:r>
    </w:p>
    <w:p>
      <w:pPr>
        <w:pStyle w:val="Normal.0"/>
        <w:spacing w:after="0" w:line="240" w:lineRule="auto"/>
        <w:ind w:left="720" w:hanging="720"/>
        <w:rPr>
          <w:rFonts w:ascii="Arial" w:cs="Arial" w:hAnsi="Arial" w:eastAsia="Arial"/>
          <w:sz w:val="20"/>
          <w:szCs w:val="20"/>
        </w:rPr>
      </w:pPr>
    </w:p>
    <w:p>
      <w:pPr>
        <w:pStyle w:val="Normal.0"/>
        <w:ind w:left="720" w:hanging="720"/>
      </w:pPr>
      <w:r>
        <w:rPr>
          <w:rFonts w:ascii="Arial" w:hAnsi="Arial"/>
          <w:sz w:val="20"/>
          <w:szCs w:val="20"/>
          <w:rtl w:val="0"/>
          <w:lang w:val="en-US"/>
        </w:rPr>
        <w:t xml:space="preserve">U.S. Department of Veterans Affairs (n.d.). </w:t>
      </w:r>
      <w:r>
        <w:rPr>
          <w:rFonts w:ascii="Arial" w:hAnsi="Arial"/>
          <w:i w:val="1"/>
          <w:iCs w:val="1"/>
          <w:sz w:val="20"/>
          <w:szCs w:val="20"/>
          <w:rtl w:val="0"/>
          <w:lang w:val="en-US"/>
        </w:rPr>
        <w:t>Office of Research &amp; Development</w:t>
      </w:r>
      <w:r>
        <w:rPr>
          <w:rFonts w:ascii="Arial" w:hAnsi="Arial"/>
          <w:sz w:val="20"/>
          <w:szCs w:val="20"/>
          <w:rtl w:val="0"/>
          <w:lang w:val="en-US"/>
        </w:rPr>
        <w:t>. Retrieved April 15, 2019, from https://www.research.va.gov/topics/tbi.cfm</w:t>
      </w:r>
    </w:p>
    <w:sectPr>
      <w:headerReference w:type="default" r:id="rId4"/>
      <w:footerReference w:type="default" r:id="rId5"/>
      <w:pgSz w:w="15840" w:h="12240" w:orient="landscape"/>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libri Light">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jc w:val="center"/>
    </w:pPr>
    <w:r>
      <w:rPr>
        <w:rFonts w:ascii="Arial" w:hAnsi="Arial"/>
        <w:sz w:val="20"/>
        <w:szCs w:val="20"/>
        <w:rtl w:val="0"/>
        <w:lang w:val="en-US"/>
      </w:rPr>
      <w:t xml:space="preserve">Copyright </w:t>
    </w:r>
    <w:r>
      <w:rPr>
        <w:rFonts w:ascii="Arial" w:hAnsi="Arial" w:hint="default"/>
        <w:sz w:val="20"/>
        <w:szCs w:val="20"/>
        <w:rtl w:val="0"/>
        <w:lang w:val="en-US"/>
      </w:rPr>
      <w:t xml:space="preserve">© </w:t>
    </w:r>
    <w:r>
      <w:rPr>
        <w:rFonts w:ascii="Arial" w:hAnsi="Arial"/>
        <w:sz w:val="20"/>
        <w:szCs w:val="20"/>
        <w:rtl w:val="0"/>
        <w:lang w:val="en-US"/>
      </w:rPr>
      <w:t>2017 by University of Phoenix. All rights reserved.</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Normal.0"/>
      <w:widowControl w:val="0"/>
      <w:bidi w:val="0"/>
      <w:spacing w:after="0" w:line="240" w:lineRule="auto"/>
      <w:ind w:left="0" w:right="33" w:firstLine="0"/>
      <w:jc w:val="right"/>
      <w:rPr>
        <w:rFonts w:ascii="Arial" w:cs="Arial" w:hAnsi="Arial" w:eastAsia="Arial"/>
        <w:sz w:val="20"/>
        <w:szCs w:val="20"/>
        <w:rtl w:val="0"/>
      </w:rPr>
    </w:pPr>
    <w:r>
      <w:rPr>
        <w:rFonts w:ascii="Arial" w:hAnsi="Arial"/>
        <w:sz w:val="20"/>
        <w:szCs w:val="20"/>
        <w:rtl w:val="0"/>
        <w:lang w:val="en-US"/>
      </w:rPr>
      <w:t>Martina Gutierrez Scenario</w:t>
    </w:r>
  </w:p>
  <w:p>
    <w:pPr>
      <w:pStyle w:val="Normal.0"/>
      <w:widowControl w:val="0"/>
      <w:bidi w:val="0"/>
      <w:spacing w:after="0" w:line="240" w:lineRule="auto"/>
      <w:ind w:left="0" w:right="0" w:firstLine="0"/>
      <w:jc w:val="left"/>
      <w:rPr>
        <w:rtl w:val="0"/>
      </w:rPr>
    </w:pPr>
    <w:r>
      <w:rPr>
        <w:rFonts w:ascii="Calibri" w:cs="Calibri" w:hAnsi="Calibri" w:eastAsia="Calibri"/>
        <w:sz w:val="22"/>
        <w:szCs w:val="22"/>
        <w:rtl w:val="0"/>
        <w:lang w:val="en-US"/>
      </w:rPr>
      <w:t>LSM/404 Version 1</w:t>
      <w:tab/>
    </w:r>
    <w:r>
      <w:rPr>
        <w:rFonts w:ascii="Arial" w:cs="Arial" w:hAnsi="Arial" w:eastAsia="Arial"/>
        <w:sz w:val="20"/>
        <w:szCs w:val="20"/>
        <w:lang w:val="en-US"/>
      </w:rPr>
      <w:fldChar w:fldCharType="begin" w:fldLock="0"/>
    </w:r>
    <w:r>
      <w:rPr>
        <w:rFonts w:ascii="Arial" w:cs="Arial" w:hAnsi="Arial" w:eastAsia="Arial"/>
        <w:sz w:val="20"/>
        <w:szCs w:val="20"/>
        <w:lang w:val="en-US"/>
      </w:rPr>
      <w:instrText xml:space="preserve"> PAGE </w:instrText>
    </w:r>
    <w:r>
      <w:rPr>
        <w:rFonts w:ascii="Arial" w:cs="Arial" w:hAnsi="Arial" w:eastAsia="Arial"/>
        <w:sz w:val="20"/>
        <w:szCs w:val="20"/>
        <w:lang w:val="en-US"/>
      </w:rPr>
      <w:fldChar w:fldCharType="separate" w:fldLock="0"/>
    </w:r>
    <w:r>
      <w:rPr>
        <w:rFonts w:ascii="Arial" w:cs="Arial" w:hAnsi="Arial" w:eastAsia="Arial"/>
        <w:sz w:val="20"/>
        <w:szCs w:val="20"/>
        <w:lang w:val="en-US"/>
      </w:rPr>
      <w:t>4</w:t>
    </w:r>
    <w:r>
      <w:rPr>
        <w:rFonts w:ascii="Arial" w:cs="Arial" w:hAnsi="Arial" w:eastAsia="Arial"/>
        <w:sz w:val="20"/>
        <w:szCs w:val="20"/>
        <w:lang w:val="en-US"/>
      </w:rPr>
      <w:fldChar w:fldCharType="end" w:fldLock="0"/>
    </w:r>
    <w:r>
      <w:rPr>
        <w:rFonts w:ascii="Arial" w:cs="Arial" w:hAnsi="Arial" w:eastAsia="Arial"/>
        <w:sz w:val="20"/>
        <w:szCs w:val="20"/>
        <w:lang w:val="en-US"/>
      </w:r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Normal.0">
    <w:name w:val="Normal"/>
    <w:next w:val="Normal.0"/>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itle">
    <w:name w:val="Title"/>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Light" w:cs="Calibri Light" w:hAnsi="Calibri Light" w:eastAsia="Calibri Light"/>
      <w:b w:val="0"/>
      <w:bCs w:val="0"/>
      <w:i w:val="0"/>
      <w:iCs w:val="0"/>
      <w:caps w:val="0"/>
      <w:smallCaps w:val="0"/>
      <w:strike w:val="0"/>
      <w:dstrike w:val="0"/>
      <w:outline w:val="0"/>
      <w:color w:val="000000"/>
      <w:spacing w:val="-10"/>
      <w:kern w:val="28"/>
      <w:position w:val="0"/>
      <w:sz w:val="56"/>
      <w:szCs w:val="56"/>
      <w:u w:val="none" w:color="000000"/>
      <w:vertAlign w:val="baseline"/>
      <w:lang w:val="en-US"/>
    </w:rPr>
  </w:style>
  <w:style w:type="character" w:styleId="Link">
    <w:name w:val="Link"/>
    <w:rPr>
      <w:color w:val="0563c1"/>
      <w:u w:val="single" w:color="0563c1"/>
    </w:rPr>
  </w:style>
  <w:style w:type="character" w:styleId="Hyperlink.0">
    <w:name w:val="Hyperlink.0"/>
    <w:basedOn w:val="Link"/>
    <w:next w:val="Hyperlink.0"/>
    <w:rPr>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Calibri Light"/>
        <a:ea typeface="Calibri Light"/>
        <a:cs typeface="Calibri Light"/>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